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1A" w:rsidRDefault="001F04E6">
      <w:pPr>
        <w:rPr>
          <w:sz w:val="18"/>
          <w:szCs w:val="18"/>
        </w:rPr>
      </w:pPr>
      <w:r>
        <w:rPr>
          <w:noProof/>
        </w:rPr>
        <mc:AlternateContent>
          <mc:Choice Requires="wps">
            <w:drawing>
              <wp:anchor distT="0" distB="0" distL="114300" distR="114300" simplePos="0" relativeHeight="251661824" behindDoc="0" locked="0" layoutInCell="1" allowOverlap="1">
                <wp:simplePos x="0" y="0"/>
                <wp:positionH relativeFrom="page">
                  <wp:posOffset>2743200</wp:posOffset>
                </wp:positionH>
                <wp:positionV relativeFrom="margin">
                  <wp:posOffset>-276225</wp:posOffset>
                </wp:positionV>
                <wp:extent cx="4379595" cy="912495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4379595" cy="9124950"/>
                        </a:xfrm>
                        <a:prstGeom prst="rect">
                          <a:avLst/>
                        </a:prstGeom>
                        <a:solidFill>
                          <a:schemeClr val="lt1"/>
                        </a:solidFill>
                        <a:ln w="6350">
                          <a:noFill/>
                        </a:ln>
                      </wps:spPr>
                      <wps:txbx>
                        <w:txbxContent>
                          <w:p w:rsidR="001F04E6" w:rsidRDefault="001F04E6" w:rsidP="001F04E6">
                            <w:pPr>
                              <w:jc w:val="center"/>
                              <w:rPr>
                                <w:sz w:val="28"/>
                                <w:szCs w:val="28"/>
                                <w:u w:val="single"/>
                              </w:rPr>
                            </w:pPr>
                            <w:r>
                              <w:rPr>
                                <w:sz w:val="28"/>
                                <w:szCs w:val="28"/>
                                <w:u w:val="single"/>
                              </w:rPr>
                              <w:t xml:space="preserve">San Diego County </w:t>
                            </w:r>
                            <w:r w:rsidRPr="00135152">
                              <w:rPr>
                                <w:sz w:val="28"/>
                                <w:szCs w:val="28"/>
                                <w:u w:val="single"/>
                              </w:rPr>
                              <w:t>“</w:t>
                            </w:r>
                            <w:r>
                              <w:rPr>
                                <w:sz w:val="28"/>
                                <w:szCs w:val="28"/>
                                <w:u w:val="single"/>
                              </w:rPr>
                              <w:t xml:space="preserve">Transitional </w:t>
                            </w:r>
                            <w:r w:rsidRPr="00135152">
                              <w:rPr>
                                <w:sz w:val="28"/>
                                <w:szCs w:val="28"/>
                                <w:u w:val="single"/>
                              </w:rPr>
                              <w:t xml:space="preserve">Special </w:t>
                            </w:r>
                          </w:p>
                          <w:p w:rsidR="001F04E6" w:rsidRDefault="001F04E6" w:rsidP="001F04E6">
                            <w:pPr>
                              <w:jc w:val="center"/>
                              <w:rPr>
                                <w:sz w:val="28"/>
                                <w:szCs w:val="28"/>
                                <w:u w:val="single"/>
                              </w:rPr>
                            </w:pPr>
                            <w:r w:rsidRPr="00135152">
                              <w:rPr>
                                <w:sz w:val="28"/>
                                <w:szCs w:val="28"/>
                                <w:u w:val="single"/>
                              </w:rPr>
                              <w:t>Agricultural Water Rate”</w:t>
                            </w:r>
                            <w:r>
                              <w:rPr>
                                <w:sz w:val="28"/>
                                <w:szCs w:val="28"/>
                                <w:u w:val="single"/>
                              </w:rPr>
                              <w:t xml:space="preserve"> (TSAWR)</w:t>
                            </w:r>
                          </w:p>
                          <w:p w:rsidR="001F04E6" w:rsidRPr="00135152" w:rsidRDefault="001F04E6" w:rsidP="001F04E6">
                            <w:pPr>
                              <w:rPr>
                                <w:sz w:val="28"/>
                                <w:szCs w:val="28"/>
                                <w:u w:val="single"/>
                              </w:rPr>
                            </w:pPr>
                          </w:p>
                          <w:p w:rsidR="001F04E6" w:rsidRDefault="001F04E6" w:rsidP="001F04E6">
                            <w:pPr>
                              <w:pStyle w:val="ListParagraph"/>
                              <w:numPr>
                                <w:ilvl w:val="0"/>
                                <w:numId w:val="5"/>
                              </w:numPr>
                              <w:spacing w:after="200" w:line="276" w:lineRule="auto"/>
                            </w:pPr>
                            <w:r>
                              <w:t>Established by contract with the San Diego County Water Authority.</w:t>
                            </w:r>
                          </w:p>
                          <w:p w:rsidR="001F04E6" w:rsidRDefault="001F04E6" w:rsidP="001F04E6">
                            <w:pPr>
                              <w:pStyle w:val="ListParagraph"/>
                              <w:numPr>
                                <w:ilvl w:val="0"/>
                                <w:numId w:val="5"/>
                              </w:numPr>
                              <w:spacing w:after="200" w:line="276" w:lineRule="auto"/>
                            </w:pPr>
                            <w:r>
                              <w:t>Provides farmers with a lower water rate than municipal customers ($212 savings per acre foot).  Participants are exempt from paying storage and other charges from the SDCWA that fund programs intended for droughts and emergencies (Imperial Irrigation District Transfer, Carlsbad Desalination Plant).</w:t>
                            </w:r>
                          </w:p>
                          <w:p w:rsidR="001F04E6" w:rsidRDefault="001F04E6" w:rsidP="001F04E6">
                            <w:pPr>
                              <w:pStyle w:val="ListParagraph"/>
                              <w:numPr>
                                <w:ilvl w:val="0"/>
                                <w:numId w:val="5"/>
                              </w:numPr>
                              <w:spacing w:after="200" w:line="276" w:lineRule="auto"/>
                            </w:pPr>
                            <w:r>
                              <w:t>TSAWR customers are locked into the program during drought reductions, and are the first water users to be cut back.</w:t>
                            </w:r>
                          </w:p>
                          <w:p w:rsidR="001F04E6" w:rsidRDefault="001F04E6" w:rsidP="001F04E6">
                            <w:pPr>
                              <w:pStyle w:val="ListParagraph"/>
                              <w:numPr>
                                <w:ilvl w:val="0"/>
                                <w:numId w:val="5"/>
                              </w:numPr>
                              <w:spacing w:after="200" w:line="276" w:lineRule="auto"/>
                            </w:pPr>
                            <w:r>
                              <w:t>Enrollment in the program carries over to the new owner if a property is sold.</w:t>
                            </w:r>
                          </w:p>
                          <w:p w:rsidR="001F04E6" w:rsidRDefault="001F04E6" w:rsidP="001F04E6">
                            <w:pPr>
                              <w:pStyle w:val="ListParagraph"/>
                              <w:numPr>
                                <w:ilvl w:val="0"/>
                                <w:numId w:val="5"/>
                              </w:numPr>
                              <w:spacing w:after="200" w:line="276" w:lineRule="auto"/>
                            </w:pPr>
                            <w:r>
                              <w:t xml:space="preserve">If a property in the TSAWR program is subdivided during a drought, the allocation for the original property is divided amongst the new parcels.  </w:t>
                            </w:r>
                          </w:p>
                          <w:p w:rsidR="001F04E6" w:rsidRDefault="001F04E6" w:rsidP="001F04E6">
                            <w:pPr>
                              <w:pStyle w:val="ListParagraph"/>
                              <w:numPr>
                                <w:ilvl w:val="0"/>
                                <w:numId w:val="5"/>
                              </w:numPr>
                              <w:spacing w:after="200" w:line="276" w:lineRule="auto"/>
                            </w:pPr>
                            <w:r>
                              <w:t>Districts with TSAWR customers receive a credit from the SDCWA to cover the cost of the negotiated rate.</w:t>
                            </w:r>
                          </w:p>
                          <w:p w:rsidR="001F04E6" w:rsidRDefault="001F04E6" w:rsidP="001F04E6">
                            <w:pPr>
                              <w:pStyle w:val="ListParagraph"/>
                              <w:numPr>
                                <w:ilvl w:val="0"/>
                                <w:numId w:val="5"/>
                              </w:numPr>
                              <w:spacing w:after="200" w:line="276" w:lineRule="auto"/>
                            </w:pPr>
                            <w:r>
                              <w:t>TSAWR cutbacks depend on the water reduction the SDCWA receives from Metropolitan Water District of Southern California (MWD).  The most recent cutback occurred in fiscal year 2016 (15% reduction in historic use during fiscal year 2014, structured as a month by month allocation for the period of July 2015-Jun 2016)</w:t>
                            </w:r>
                          </w:p>
                          <w:p w:rsidR="001F04E6" w:rsidRDefault="001F04E6" w:rsidP="001F04E6">
                            <w:pPr>
                              <w:pStyle w:val="ListParagraph"/>
                              <w:numPr>
                                <w:ilvl w:val="0"/>
                                <w:numId w:val="5"/>
                              </w:numPr>
                              <w:spacing w:after="200" w:line="276" w:lineRule="auto"/>
                            </w:pPr>
                            <w:r>
                              <w:t>TSAWR programs require that a property meet certain criteria; acreage requirements, proof of revenue from the agricultural operation, an approved backflow device, and potential site inspections.</w:t>
                            </w:r>
                          </w:p>
                          <w:p w:rsidR="001F04E6" w:rsidRDefault="001F04E6" w:rsidP="001F04E6">
                            <w:pPr>
                              <w:pStyle w:val="ListParagraph"/>
                              <w:numPr>
                                <w:ilvl w:val="0"/>
                                <w:numId w:val="5"/>
                              </w:numPr>
                              <w:spacing w:after="200" w:line="276" w:lineRule="auto"/>
                            </w:pPr>
                            <w:r>
                              <w:t>Districts who fail to meet cutbacks set by the SDCWA may be subject to penalties/fines.</w:t>
                            </w:r>
                          </w:p>
                          <w:p w:rsidR="001F04E6" w:rsidRDefault="001F04E6" w:rsidP="001F04E6">
                            <w:pPr>
                              <w:pStyle w:val="ListParagraph"/>
                              <w:numPr>
                                <w:ilvl w:val="0"/>
                                <w:numId w:val="5"/>
                              </w:numPr>
                              <w:spacing w:after="200" w:line="276" w:lineRule="auto"/>
                            </w:pPr>
                            <w:r>
                              <w:t>The program is currently in good standing through December 31</w:t>
                            </w:r>
                            <w:r w:rsidRPr="00F77FDB">
                              <w:rPr>
                                <w:vertAlign w:val="superscript"/>
                              </w:rPr>
                              <w:t>st</w:t>
                            </w:r>
                            <w:r>
                              <w:t>, 2020.</w:t>
                            </w:r>
                          </w:p>
                          <w:p w:rsidR="001F04E6" w:rsidRDefault="001F04E6" w:rsidP="001F04E6">
                            <w:pPr>
                              <w:pStyle w:val="ListParagraph"/>
                              <w:numPr>
                                <w:ilvl w:val="0"/>
                                <w:numId w:val="5"/>
                              </w:numPr>
                              <w:spacing w:after="200" w:line="276" w:lineRule="auto"/>
                            </w:pPr>
                            <w:r>
                              <w:t xml:space="preserve">When drought restrictions are removed, TSAWR customers can opt out of the program or re-enroll if the account was enrolled during the 2008 certification. </w:t>
                            </w:r>
                          </w:p>
                          <w:p w:rsidR="001F04E6" w:rsidRDefault="001F04E6" w:rsidP="001F04E6">
                            <w:pPr>
                              <w:pStyle w:val="ListParagraph"/>
                              <w:numPr>
                                <w:ilvl w:val="0"/>
                                <w:numId w:val="5"/>
                              </w:numPr>
                              <w:spacing w:after="200" w:line="276" w:lineRule="auto"/>
                            </w:pPr>
                            <w:r>
                              <w:t>For the local avocado industry, the TSAWR program provides an estimated annual savings of $11.2 million dollars for its participants.</w:t>
                            </w:r>
                          </w:p>
                          <w:p w:rsidR="001F04E6" w:rsidRPr="005F39A1" w:rsidRDefault="001F04E6" w:rsidP="001F04E6">
                            <w:pPr>
                              <w:rPr>
                                <w:i/>
                              </w:rPr>
                            </w:pPr>
                            <w:r w:rsidRPr="005F39A1">
                              <w:rPr>
                                <w:i/>
                              </w:rPr>
                              <w:t xml:space="preserve">For more </w:t>
                            </w:r>
                            <w:r>
                              <w:rPr>
                                <w:i/>
                              </w:rPr>
                              <w:t>information,</w:t>
                            </w:r>
                            <w:r w:rsidRPr="005F39A1">
                              <w:rPr>
                                <w:i/>
                              </w:rPr>
                              <w:t xml:space="preserve"> follow meetings</w:t>
                            </w:r>
                            <w:r>
                              <w:rPr>
                                <w:i/>
                              </w:rPr>
                              <w:t>, social media</w:t>
                            </w:r>
                            <w:r w:rsidRPr="005F39A1">
                              <w:rPr>
                                <w:i/>
                              </w:rPr>
                              <w:t xml:space="preserve"> and press releases </w:t>
                            </w:r>
                            <w:r>
                              <w:rPr>
                                <w:i/>
                              </w:rPr>
                              <w:t>from</w:t>
                            </w:r>
                            <w:r w:rsidRPr="005F39A1">
                              <w:rPr>
                                <w:i/>
                              </w:rPr>
                              <w:t xml:space="preserve"> the following organizations:</w:t>
                            </w:r>
                          </w:p>
                          <w:p w:rsidR="001F04E6" w:rsidRDefault="001F04E6" w:rsidP="001F04E6">
                            <w:pPr>
                              <w:pStyle w:val="ListParagraph"/>
                              <w:numPr>
                                <w:ilvl w:val="0"/>
                                <w:numId w:val="6"/>
                              </w:numPr>
                              <w:spacing w:after="200" w:line="276" w:lineRule="auto"/>
                            </w:pPr>
                            <w:r>
                              <w:t>Fallbrook Public Utility District (</w:t>
                            </w:r>
                            <w:hyperlink r:id="rId8" w:history="1">
                              <w:r w:rsidRPr="006B407B">
                                <w:rPr>
                                  <w:rStyle w:val="Hyperlink"/>
                                </w:rPr>
                                <w:t>www.fpud.com</w:t>
                              </w:r>
                            </w:hyperlink>
                            <w:r>
                              <w:t xml:space="preserve"> )</w:t>
                            </w:r>
                          </w:p>
                          <w:p w:rsidR="001F04E6" w:rsidRDefault="001F04E6" w:rsidP="001F04E6">
                            <w:pPr>
                              <w:pStyle w:val="ListParagraph"/>
                              <w:numPr>
                                <w:ilvl w:val="0"/>
                                <w:numId w:val="6"/>
                              </w:numPr>
                              <w:spacing w:after="200" w:line="276" w:lineRule="auto"/>
                            </w:pPr>
                            <w:r>
                              <w:t>San Diego County Water Authority (</w:t>
                            </w:r>
                            <w:hyperlink r:id="rId9" w:history="1">
                              <w:r w:rsidRPr="006B407B">
                                <w:rPr>
                                  <w:rStyle w:val="Hyperlink"/>
                                </w:rPr>
                                <w:t>www.sdcwa.org</w:t>
                              </w:r>
                            </w:hyperlink>
                            <w:r>
                              <w:t xml:space="preserve"> )</w:t>
                            </w:r>
                          </w:p>
                          <w:p w:rsidR="001F04E6" w:rsidRDefault="001F04E6" w:rsidP="001F04E6">
                            <w:pPr>
                              <w:pStyle w:val="ListParagraph"/>
                              <w:numPr>
                                <w:ilvl w:val="0"/>
                                <w:numId w:val="6"/>
                              </w:numPr>
                              <w:spacing w:after="200" w:line="276" w:lineRule="auto"/>
                            </w:pPr>
                            <w:r>
                              <w:t>San Diego Farm Bureau (</w:t>
                            </w:r>
                            <w:hyperlink r:id="rId10" w:history="1">
                              <w:r w:rsidRPr="006B407B">
                                <w:rPr>
                                  <w:rStyle w:val="Hyperlink"/>
                                </w:rPr>
                                <w:t>www.sdfarmbureau.org</w:t>
                              </w:r>
                            </w:hyperlink>
                            <w:r>
                              <w:t xml:space="preserve"> )</w:t>
                            </w:r>
                          </w:p>
                          <w:p w:rsidR="001F04E6" w:rsidRDefault="001F04E6" w:rsidP="001F04E6">
                            <w:pPr>
                              <w:pStyle w:val="ListParagraph"/>
                              <w:numPr>
                                <w:ilvl w:val="0"/>
                                <w:numId w:val="6"/>
                              </w:numPr>
                              <w:spacing w:after="200" w:line="276" w:lineRule="auto"/>
                            </w:pPr>
                            <w:r>
                              <w:t>MWD of Southern California (</w:t>
                            </w:r>
                            <w:hyperlink r:id="rId11" w:history="1">
                              <w:r w:rsidRPr="006B407B">
                                <w:rPr>
                                  <w:rStyle w:val="Hyperlink"/>
                                </w:rPr>
                                <w:t>www.mwdh2o.com</w:t>
                              </w:r>
                            </w:hyperlink>
                            <w:r>
                              <w:t xml:space="preserve"> )</w:t>
                            </w:r>
                          </w:p>
                          <w:p w:rsidR="001F04E6" w:rsidRDefault="001F04E6" w:rsidP="001F04E6">
                            <w:pPr>
                              <w:pStyle w:val="ListParagraph"/>
                              <w:numPr>
                                <w:ilvl w:val="0"/>
                                <w:numId w:val="6"/>
                              </w:numPr>
                              <w:spacing w:after="200" w:line="276" w:lineRule="auto"/>
                            </w:pPr>
                            <w:r>
                              <w:t>State Water Resources Control Board (</w:t>
                            </w:r>
                            <w:hyperlink r:id="rId12" w:history="1">
                              <w:r w:rsidRPr="006B407B">
                                <w:rPr>
                                  <w:rStyle w:val="Hyperlink"/>
                                </w:rPr>
                                <w:t>www.swrcb.ca.gov</w:t>
                              </w:r>
                            </w:hyperlink>
                            <w:r>
                              <w:t xml:space="preserve"> )</w:t>
                            </w:r>
                          </w:p>
                          <w:p w:rsidR="001F04E6" w:rsidRPr="00A13FB4" w:rsidRDefault="001F04E6" w:rsidP="001F04E6"/>
                          <w:p w:rsidR="0027619D" w:rsidRDefault="0027619D" w:rsidP="0027619D">
                            <w:pPr>
                              <w:pStyle w:val="Defaul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in;margin-top:-21.75pt;width:344.85pt;height:7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" fillcolor="white [3201]" stroked="f" strokeweight=".5pt">
                <v:textbox>
                  <w:txbxContent>
                    <w:p w:rsidR="001F04E6" w:rsidRDefault="001F04E6" w:rsidP="001F04E6">
                      <w:pPr>
                        <w:jc w:val="center"/>
                        <w:rPr>
                          <w:sz w:val="28"/>
                          <w:szCs w:val="28"/>
                          <w:u w:val="single"/>
                        </w:rPr>
                      </w:pPr>
                      <w:r>
                        <w:rPr>
                          <w:sz w:val="28"/>
                          <w:szCs w:val="28"/>
                          <w:u w:val="single"/>
                        </w:rPr>
                        <w:t xml:space="preserve">San Diego County </w:t>
                      </w:r>
                      <w:r w:rsidRPr="00135152">
                        <w:rPr>
                          <w:sz w:val="28"/>
                          <w:szCs w:val="28"/>
                          <w:u w:val="single"/>
                        </w:rPr>
                        <w:t>“</w:t>
                      </w:r>
                      <w:r>
                        <w:rPr>
                          <w:sz w:val="28"/>
                          <w:szCs w:val="28"/>
                          <w:u w:val="single"/>
                        </w:rPr>
                        <w:t xml:space="preserve">Transitional </w:t>
                      </w:r>
                      <w:r w:rsidRPr="00135152">
                        <w:rPr>
                          <w:sz w:val="28"/>
                          <w:szCs w:val="28"/>
                          <w:u w:val="single"/>
                        </w:rPr>
                        <w:t xml:space="preserve">Special </w:t>
                      </w:r>
                    </w:p>
                    <w:p w:rsidR="001F04E6" w:rsidRDefault="001F04E6" w:rsidP="001F04E6">
                      <w:pPr>
                        <w:jc w:val="center"/>
                        <w:rPr>
                          <w:sz w:val="28"/>
                          <w:szCs w:val="28"/>
                          <w:u w:val="single"/>
                        </w:rPr>
                      </w:pPr>
                      <w:r w:rsidRPr="00135152">
                        <w:rPr>
                          <w:sz w:val="28"/>
                          <w:szCs w:val="28"/>
                          <w:u w:val="single"/>
                        </w:rPr>
                        <w:t>Agricultural Water Rate”</w:t>
                      </w:r>
                      <w:r>
                        <w:rPr>
                          <w:sz w:val="28"/>
                          <w:szCs w:val="28"/>
                          <w:u w:val="single"/>
                        </w:rPr>
                        <w:t xml:space="preserve"> (TSAWR)</w:t>
                      </w:r>
                    </w:p>
                    <w:p w:rsidR="001F04E6" w:rsidRPr="00135152" w:rsidRDefault="001F04E6" w:rsidP="001F04E6">
                      <w:pPr>
                        <w:rPr>
                          <w:sz w:val="28"/>
                          <w:szCs w:val="28"/>
                          <w:u w:val="single"/>
                        </w:rPr>
                      </w:pPr>
                    </w:p>
                    <w:p w:rsidR="001F04E6" w:rsidRDefault="001F04E6" w:rsidP="001F04E6">
                      <w:pPr>
                        <w:pStyle w:val="ListParagraph"/>
                        <w:numPr>
                          <w:ilvl w:val="0"/>
                          <w:numId w:val="5"/>
                        </w:numPr>
                        <w:spacing w:after="200" w:line="276" w:lineRule="auto"/>
                      </w:pPr>
                      <w:r>
                        <w:t>Established by contract with the San Diego County Water Authority.</w:t>
                      </w:r>
                    </w:p>
                    <w:p w:rsidR="001F04E6" w:rsidRDefault="001F04E6" w:rsidP="001F04E6">
                      <w:pPr>
                        <w:pStyle w:val="ListParagraph"/>
                        <w:numPr>
                          <w:ilvl w:val="0"/>
                          <w:numId w:val="5"/>
                        </w:numPr>
                        <w:spacing w:after="200" w:line="276" w:lineRule="auto"/>
                      </w:pPr>
                      <w:r>
                        <w:t>Provides farmers with a lower water rate than municipal customers ($212 savings per acre foot).  Participants are exempt from paying storage and other charges from the SDCWA that fund programs intended for droughts and emergencies (Imperial Irrigation District Transfer, Carlsbad Desalination Plant).</w:t>
                      </w:r>
                    </w:p>
                    <w:p w:rsidR="001F04E6" w:rsidRDefault="001F04E6" w:rsidP="001F04E6">
                      <w:pPr>
                        <w:pStyle w:val="ListParagraph"/>
                        <w:numPr>
                          <w:ilvl w:val="0"/>
                          <w:numId w:val="5"/>
                        </w:numPr>
                        <w:spacing w:after="200" w:line="276" w:lineRule="auto"/>
                      </w:pPr>
                      <w:r>
                        <w:t>TSAWR customers are locked into the program during drought reductions, and are the first water users to be cut back.</w:t>
                      </w:r>
                    </w:p>
                    <w:p w:rsidR="001F04E6" w:rsidRDefault="001F04E6" w:rsidP="001F04E6">
                      <w:pPr>
                        <w:pStyle w:val="ListParagraph"/>
                        <w:numPr>
                          <w:ilvl w:val="0"/>
                          <w:numId w:val="5"/>
                        </w:numPr>
                        <w:spacing w:after="200" w:line="276" w:lineRule="auto"/>
                      </w:pPr>
                      <w:r>
                        <w:t>Enrollment in the program carries over to the new owner if a property is sold.</w:t>
                      </w:r>
                    </w:p>
                    <w:p w:rsidR="001F04E6" w:rsidRDefault="001F04E6" w:rsidP="001F04E6">
                      <w:pPr>
                        <w:pStyle w:val="ListParagraph"/>
                        <w:numPr>
                          <w:ilvl w:val="0"/>
                          <w:numId w:val="5"/>
                        </w:numPr>
                        <w:spacing w:after="200" w:line="276" w:lineRule="auto"/>
                      </w:pPr>
                      <w:r>
                        <w:t xml:space="preserve">If a property in the TSAWR program is subdivided during a drought, the allocation for the original property is divided amongst the new parcels.  </w:t>
                      </w:r>
                    </w:p>
                    <w:p w:rsidR="001F04E6" w:rsidRDefault="001F04E6" w:rsidP="001F04E6">
                      <w:pPr>
                        <w:pStyle w:val="ListParagraph"/>
                        <w:numPr>
                          <w:ilvl w:val="0"/>
                          <w:numId w:val="5"/>
                        </w:numPr>
                        <w:spacing w:after="200" w:line="276" w:lineRule="auto"/>
                      </w:pPr>
                      <w:r>
                        <w:t>Districts with TSAWR customers receive a credit from the SDCWA to cover the cost of the negotiated rate.</w:t>
                      </w:r>
                    </w:p>
                    <w:p w:rsidR="001F04E6" w:rsidRDefault="001F04E6" w:rsidP="001F04E6">
                      <w:pPr>
                        <w:pStyle w:val="ListParagraph"/>
                        <w:numPr>
                          <w:ilvl w:val="0"/>
                          <w:numId w:val="5"/>
                        </w:numPr>
                        <w:spacing w:after="200" w:line="276" w:lineRule="auto"/>
                      </w:pPr>
                      <w:r>
                        <w:t>TSAWR cutbacks depend on the water reduction the SDCWA receives from Metropolitan Water District of Southern California (MWD).  The most recent cutback occurred in fiscal year 2016 (15% reduction in historic use during fiscal year 2014, structured as a month by month allocation for the period of July 2015-Jun 2016)</w:t>
                      </w:r>
                    </w:p>
                    <w:p w:rsidR="001F04E6" w:rsidRDefault="001F04E6" w:rsidP="001F04E6">
                      <w:pPr>
                        <w:pStyle w:val="ListParagraph"/>
                        <w:numPr>
                          <w:ilvl w:val="0"/>
                          <w:numId w:val="5"/>
                        </w:numPr>
                        <w:spacing w:after="200" w:line="276" w:lineRule="auto"/>
                      </w:pPr>
                      <w:r>
                        <w:t>TSAWR programs require that a property meet certain criteria; acreage requirements, proof of revenue from the agricultural operation, an approved backflow device, and potential site inspections.</w:t>
                      </w:r>
                    </w:p>
                    <w:p w:rsidR="001F04E6" w:rsidRDefault="001F04E6" w:rsidP="001F04E6">
                      <w:pPr>
                        <w:pStyle w:val="ListParagraph"/>
                        <w:numPr>
                          <w:ilvl w:val="0"/>
                          <w:numId w:val="5"/>
                        </w:numPr>
                        <w:spacing w:after="200" w:line="276" w:lineRule="auto"/>
                      </w:pPr>
                      <w:r>
                        <w:t>Districts who fail to meet cutbacks set by the SDCWA may be subject to penalties/fines.</w:t>
                      </w:r>
                    </w:p>
                    <w:p w:rsidR="001F04E6" w:rsidRDefault="001F04E6" w:rsidP="001F04E6">
                      <w:pPr>
                        <w:pStyle w:val="ListParagraph"/>
                        <w:numPr>
                          <w:ilvl w:val="0"/>
                          <w:numId w:val="5"/>
                        </w:numPr>
                        <w:spacing w:after="200" w:line="276" w:lineRule="auto"/>
                      </w:pPr>
                      <w:r>
                        <w:t>The program is currently in good standing through December 31</w:t>
                      </w:r>
                      <w:r w:rsidRPr="00F77FDB">
                        <w:rPr>
                          <w:vertAlign w:val="superscript"/>
                        </w:rPr>
                        <w:t>st</w:t>
                      </w:r>
                      <w:r>
                        <w:t>, 2020.</w:t>
                      </w:r>
                    </w:p>
                    <w:p w:rsidR="001F04E6" w:rsidRDefault="001F04E6" w:rsidP="001F04E6">
                      <w:pPr>
                        <w:pStyle w:val="ListParagraph"/>
                        <w:numPr>
                          <w:ilvl w:val="0"/>
                          <w:numId w:val="5"/>
                        </w:numPr>
                        <w:spacing w:after="200" w:line="276" w:lineRule="auto"/>
                      </w:pPr>
                      <w:r>
                        <w:t xml:space="preserve">When drought restrictions are removed, TSAWR customers can opt out of the program or re-enroll if the account was enrolled during the 2008 certification. </w:t>
                      </w:r>
                    </w:p>
                    <w:p w:rsidR="001F04E6" w:rsidRDefault="001F04E6" w:rsidP="001F04E6">
                      <w:pPr>
                        <w:pStyle w:val="ListParagraph"/>
                        <w:numPr>
                          <w:ilvl w:val="0"/>
                          <w:numId w:val="5"/>
                        </w:numPr>
                        <w:spacing w:after="200" w:line="276" w:lineRule="auto"/>
                      </w:pPr>
                      <w:r>
                        <w:t>For the local avocado industry, the TSAWR program provides an estimated annual savings of $11.2 million dollars for its participants.</w:t>
                      </w:r>
                    </w:p>
                    <w:p w:rsidR="001F04E6" w:rsidRPr="005F39A1" w:rsidRDefault="001F04E6" w:rsidP="001F04E6">
                      <w:pPr>
                        <w:rPr>
                          <w:i/>
                        </w:rPr>
                      </w:pPr>
                      <w:r w:rsidRPr="005F39A1">
                        <w:rPr>
                          <w:i/>
                        </w:rPr>
                        <w:t xml:space="preserve">For more </w:t>
                      </w:r>
                      <w:r>
                        <w:rPr>
                          <w:i/>
                        </w:rPr>
                        <w:t>information,</w:t>
                      </w:r>
                      <w:r w:rsidRPr="005F39A1">
                        <w:rPr>
                          <w:i/>
                        </w:rPr>
                        <w:t xml:space="preserve"> follow meetings</w:t>
                      </w:r>
                      <w:r>
                        <w:rPr>
                          <w:i/>
                        </w:rPr>
                        <w:t>, social media</w:t>
                      </w:r>
                      <w:r w:rsidRPr="005F39A1">
                        <w:rPr>
                          <w:i/>
                        </w:rPr>
                        <w:t xml:space="preserve"> and press releases </w:t>
                      </w:r>
                      <w:r>
                        <w:rPr>
                          <w:i/>
                        </w:rPr>
                        <w:t>from</w:t>
                      </w:r>
                      <w:r w:rsidRPr="005F39A1">
                        <w:rPr>
                          <w:i/>
                        </w:rPr>
                        <w:t xml:space="preserve"> the following organizations:</w:t>
                      </w:r>
                    </w:p>
                    <w:p w:rsidR="001F04E6" w:rsidRDefault="001F04E6" w:rsidP="001F04E6">
                      <w:pPr>
                        <w:pStyle w:val="ListParagraph"/>
                        <w:numPr>
                          <w:ilvl w:val="0"/>
                          <w:numId w:val="6"/>
                        </w:numPr>
                        <w:spacing w:after="200" w:line="276" w:lineRule="auto"/>
                      </w:pPr>
                      <w:r>
                        <w:t>Fallbrook Public Utility District (</w:t>
                      </w:r>
                      <w:hyperlink r:id="rId13" w:history="1">
                        <w:r w:rsidRPr="006B407B">
                          <w:rPr>
                            <w:rStyle w:val="Hyperlink"/>
                          </w:rPr>
                          <w:t>www.fpud.com</w:t>
                        </w:r>
                      </w:hyperlink>
                      <w:r>
                        <w:t xml:space="preserve"> )</w:t>
                      </w:r>
                    </w:p>
                    <w:p w:rsidR="001F04E6" w:rsidRDefault="001F04E6" w:rsidP="001F04E6">
                      <w:pPr>
                        <w:pStyle w:val="ListParagraph"/>
                        <w:numPr>
                          <w:ilvl w:val="0"/>
                          <w:numId w:val="6"/>
                        </w:numPr>
                        <w:spacing w:after="200" w:line="276" w:lineRule="auto"/>
                      </w:pPr>
                      <w:r>
                        <w:t>San Diego County Water Authority (</w:t>
                      </w:r>
                      <w:hyperlink r:id="rId14" w:history="1">
                        <w:r w:rsidRPr="006B407B">
                          <w:rPr>
                            <w:rStyle w:val="Hyperlink"/>
                          </w:rPr>
                          <w:t>www.sdcwa.org</w:t>
                        </w:r>
                      </w:hyperlink>
                      <w:r>
                        <w:t xml:space="preserve"> )</w:t>
                      </w:r>
                    </w:p>
                    <w:p w:rsidR="001F04E6" w:rsidRDefault="001F04E6" w:rsidP="001F04E6">
                      <w:pPr>
                        <w:pStyle w:val="ListParagraph"/>
                        <w:numPr>
                          <w:ilvl w:val="0"/>
                          <w:numId w:val="6"/>
                        </w:numPr>
                        <w:spacing w:after="200" w:line="276" w:lineRule="auto"/>
                      </w:pPr>
                      <w:r>
                        <w:t>San Diego Farm Bureau (</w:t>
                      </w:r>
                      <w:hyperlink r:id="rId15" w:history="1">
                        <w:r w:rsidRPr="006B407B">
                          <w:rPr>
                            <w:rStyle w:val="Hyperlink"/>
                          </w:rPr>
                          <w:t>www.sdfarmbureau.org</w:t>
                        </w:r>
                      </w:hyperlink>
                      <w:r>
                        <w:t xml:space="preserve"> )</w:t>
                      </w:r>
                    </w:p>
                    <w:p w:rsidR="001F04E6" w:rsidRDefault="001F04E6" w:rsidP="001F04E6">
                      <w:pPr>
                        <w:pStyle w:val="ListParagraph"/>
                        <w:numPr>
                          <w:ilvl w:val="0"/>
                          <w:numId w:val="6"/>
                        </w:numPr>
                        <w:spacing w:after="200" w:line="276" w:lineRule="auto"/>
                      </w:pPr>
                      <w:r>
                        <w:t>MWD of Southern California (</w:t>
                      </w:r>
                      <w:hyperlink r:id="rId16" w:history="1">
                        <w:r w:rsidRPr="006B407B">
                          <w:rPr>
                            <w:rStyle w:val="Hyperlink"/>
                          </w:rPr>
                          <w:t>www.mwdh2o.com</w:t>
                        </w:r>
                      </w:hyperlink>
                      <w:r>
                        <w:t xml:space="preserve"> )</w:t>
                      </w:r>
                    </w:p>
                    <w:p w:rsidR="001F04E6" w:rsidRDefault="001F04E6" w:rsidP="001F04E6">
                      <w:pPr>
                        <w:pStyle w:val="ListParagraph"/>
                        <w:numPr>
                          <w:ilvl w:val="0"/>
                          <w:numId w:val="6"/>
                        </w:numPr>
                        <w:spacing w:after="200" w:line="276" w:lineRule="auto"/>
                      </w:pPr>
                      <w:r>
                        <w:t>State Water Resources Control Board (</w:t>
                      </w:r>
                      <w:hyperlink r:id="rId17" w:history="1">
                        <w:r w:rsidRPr="006B407B">
                          <w:rPr>
                            <w:rStyle w:val="Hyperlink"/>
                          </w:rPr>
                          <w:t>www.swrcb.ca.gov</w:t>
                        </w:r>
                      </w:hyperlink>
                      <w:r>
                        <w:t xml:space="preserve"> )</w:t>
                      </w:r>
                    </w:p>
                    <w:p w:rsidR="001F04E6" w:rsidRPr="00A13FB4" w:rsidRDefault="001F04E6" w:rsidP="001F04E6"/>
                    <w:p w:rsidR="0027619D" w:rsidRDefault="0027619D" w:rsidP="0027619D">
                      <w:pPr>
                        <w:pStyle w:val="Default"/>
                        <w:jc w:val="both"/>
                      </w:pPr>
                    </w:p>
                  </w:txbxContent>
                </v:textbox>
                <w10:wrap anchorx="page" anchory="margin"/>
              </v:shape>
            </w:pict>
          </mc:Fallback>
        </mc:AlternateContent>
      </w:r>
      <w:r w:rsidR="00F131A0">
        <w:rPr>
          <w:noProof/>
        </w:rPr>
        <w:drawing>
          <wp:anchor distT="0" distB="0" distL="114300" distR="114300" simplePos="0" relativeHeight="251660800" behindDoc="0" locked="0" layoutInCell="0" allowOverlap="1" wp14:anchorId="28CA3D44" wp14:editId="719D23F4">
            <wp:simplePos x="0" y="0"/>
            <wp:positionH relativeFrom="column">
              <wp:posOffset>-6985</wp:posOffset>
            </wp:positionH>
            <wp:positionV relativeFrom="paragraph">
              <wp:posOffset>-32471</wp:posOffset>
            </wp:positionV>
            <wp:extent cx="1295400" cy="62928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9822" t="20285" r="11598" b="23691"/>
                    <a:stretch>
                      <a:fillRect/>
                    </a:stretch>
                  </pic:blipFill>
                  <pic:spPr bwMode="auto">
                    <a:xfrm>
                      <a:off x="0" y="0"/>
                      <a:ext cx="12954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3DE">
        <w:rPr>
          <w:noProof/>
        </w:rPr>
        <mc:AlternateContent>
          <mc:Choice Requires="wps">
            <w:drawing>
              <wp:anchor distT="0" distB="0" distL="114300" distR="114300" simplePos="0" relativeHeight="251658752" behindDoc="0" locked="0" layoutInCell="1" allowOverlap="1">
                <wp:simplePos x="0" y="0"/>
                <wp:positionH relativeFrom="column">
                  <wp:posOffset>1417320</wp:posOffset>
                </wp:positionH>
                <wp:positionV relativeFrom="paragraph">
                  <wp:posOffset>-342900</wp:posOffset>
                </wp:positionV>
                <wp:extent cx="45719" cy="5143500"/>
                <wp:effectExtent l="0" t="0" r="3111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143500"/>
                        </a:xfrm>
                        <a:prstGeom prst="straightConnector1">
                          <a:avLst/>
                        </a:prstGeom>
                        <a:noFill/>
                        <a:ln w="3175">
                          <a:solidFill>
                            <a:srgbClr val="DEEAF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6076F7" id="_x0000_t32" coordsize="21600,21600" o:spt="32" o:oned="t" path="m,l21600,21600e" filled="f">
                <v:path arrowok="t" fillok="f" o:connecttype="none"/>
                <o:lock v:ext="edit" shapetype="t"/>
              </v:shapetype>
              <v:shape id="AutoShape 9" o:spid="_x0000_s1026" type="#_x0000_t32" style="position:absolute;margin-left:111.6pt;margin-top:-27pt;width:3.6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" strokecolor="#deeaf6" strokeweight=".25pt">
                <v:shadow color="#1f3763" opacity=".5" offset="1pt"/>
              </v:shape>
            </w:pict>
          </mc:Fallback>
        </mc:AlternateContent>
      </w:r>
    </w:p>
    <w:p w:rsidR="0026511A" w:rsidRDefault="0026511A">
      <w:pPr>
        <w:rPr>
          <w:sz w:val="18"/>
          <w:szCs w:val="18"/>
        </w:rPr>
      </w:pPr>
    </w:p>
    <w:p w:rsidR="00D60FE8" w:rsidRDefault="00D60FE8">
      <w:pPr>
        <w:rPr>
          <w:sz w:val="18"/>
          <w:szCs w:val="18"/>
        </w:rPr>
      </w:pPr>
    </w:p>
    <w:p w:rsidR="00F131A0" w:rsidRDefault="00F131A0" w:rsidP="000406B2">
      <w:pPr>
        <w:rPr>
          <w:sz w:val="18"/>
          <w:szCs w:val="18"/>
        </w:rPr>
      </w:pPr>
    </w:p>
    <w:p w:rsidR="00683314" w:rsidRDefault="00683314" w:rsidP="000406B2">
      <w:pPr>
        <w:rPr>
          <w:sz w:val="18"/>
          <w:szCs w:val="18"/>
        </w:rPr>
      </w:pPr>
    </w:p>
    <w:p w:rsidR="00F36270" w:rsidRPr="000C7CF6" w:rsidRDefault="00F36270" w:rsidP="000406B2">
      <w:pPr>
        <w:rPr>
          <w:sz w:val="18"/>
          <w:szCs w:val="18"/>
        </w:rPr>
      </w:pPr>
      <w:r w:rsidRPr="000C7CF6">
        <w:rPr>
          <w:sz w:val="18"/>
          <w:szCs w:val="18"/>
        </w:rPr>
        <w:t>990 East Mission Road</w:t>
      </w:r>
    </w:p>
    <w:p w:rsidR="00105F5C" w:rsidRPr="000C7CF6" w:rsidRDefault="00105F5C">
      <w:pPr>
        <w:rPr>
          <w:sz w:val="18"/>
          <w:szCs w:val="18"/>
        </w:rPr>
      </w:pPr>
      <w:r w:rsidRPr="000C7CF6">
        <w:rPr>
          <w:sz w:val="18"/>
          <w:szCs w:val="18"/>
        </w:rPr>
        <w:t>Fallbrook, California</w:t>
      </w:r>
    </w:p>
    <w:p w:rsidR="00F36270" w:rsidRDefault="0026511A">
      <w:pPr>
        <w:rPr>
          <w:sz w:val="18"/>
          <w:szCs w:val="18"/>
        </w:rPr>
      </w:pPr>
      <w:r w:rsidRPr="000C7CF6">
        <w:rPr>
          <w:sz w:val="18"/>
          <w:szCs w:val="18"/>
        </w:rPr>
        <w:t>92028</w:t>
      </w:r>
      <w:r w:rsidR="00105F5C" w:rsidRPr="000C7CF6">
        <w:rPr>
          <w:sz w:val="18"/>
          <w:szCs w:val="18"/>
        </w:rPr>
        <w:t>-2232</w:t>
      </w:r>
    </w:p>
    <w:p w:rsidR="00F131A0" w:rsidRDefault="001F04E6">
      <w:pPr>
        <w:rPr>
          <w:sz w:val="18"/>
          <w:szCs w:val="18"/>
        </w:rPr>
      </w:pPr>
      <w:hyperlink r:id="rId19" w:history="1">
        <w:r w:rsidR="00F131A0" w:rsidRPr="0074715C">
          <w:rPr>
            <w:rStyle w:val="Hyperlink"/>
            <w:sz w:val="18"/>
            <w:szCs w:val="18"/>
          </w:rPr>
          <w:t>www.fpud.com</w:t>
        </w:r>
      </w:hyperlink>
    </w:p>
    <w:p w:rsidR="00F36270" w:rsidRPr="000C7CF6" w:rsidRDefault="00F36270">
      <w:pPr>
        <w:rPr>
          <w:sz w:val="18"/>
          <w:szCs w:val="18"/>
        </w:rPr>
      </w:pPr>
      <w:r w:rsidRPr="000C7CF6">
        <w:rPr>
          <w:sz w:val="18"/>
          <w:szCs w:val="18"/>
        </w:rPr>
        <w:t>(760) 728-1125</w:t>
      </w:r>
    </w:p>
    <w:p w:rsidR="00F36270" w:rsidRPr="000C7CF6" w:rsidRDefault="00F36270">
      <w:pPr>
        <w:rPr>
          <w:sz w:val="18"/>
          <w:szCs w:val="18"/>
        </w:rPr>
      </w:pPr>
    </w:p>
    <w:p w:rsidR="00ED0F01" w:rsidRDefault="00ED0F01">
      <w:pPr>
        <w:rPr>
          <w:sz w:val="18"/>
          <w:szCs w:val="18"/>
          <w:u w:val="single"/>
        </w:rPr>
      </w:pPr>
    </w:p>
    <w:p w:rsidR="00F36270" w:rsidRPr="000C7CF6" w:rsidRDefault="00F36270">
      <w:pPr>
        <w:rPr>
          <w:sz w:val="18"/>
          <w:szCs w:val="18"/>
        </w:rPr>
      </w:pPr>
      <w:r w:rsidRPr="000C7CF6">
        <w:rPr>
          <w:sz w:val="18"/>
          <w:szCs w:val="18"/>
          <w:u w:val="single"/>
        </w:rPr>
        <w:t>Board of Directors</w:t>
      </w:r>
    </w:p>
    <w:p w:rsidR="00647698" w:rsidRPr="000C7CF6" w:rsidRDefault="00647698">
      <w:pPr>
        <w:rPr>
          <w:b/>
          <w:sz w:val="18"/>
          <w:szCs w:val="18"/>
        </w:rPr>
      </w:pPr>
    </w:p>
    <w:p w:rsidR="003345A5" w:rsidRPr="000C7CF6" w:rsidRDefault="007C4629" w:rsidP="003345A5">
      <w:pPr>
        <w:rPr>
          <w:sz w:val="18"/>
          <w:szCs w:val="18"/>
          <w:lang w:val="fr-FR"/>
        </w:rPr>
      </w:pPr>
      <w:r>
        <w:rPr>
          <w:sz w:val="18"/>
          <w:szCs w:val="18"/>
          <w:lang w:val="fr-FR"/>
        </w:rPr>
        <w:t>Dave Baxter</w:t>
      </w:r>
    </w:p>
    <w:p w:rsidR="003345A5" w:rsidRPr="003345A5" w:rsidRDefault="003345A5" w:rsidP="00732265">
      <w:pPr>
        <w:rPr>
          <w:i/>
          <w:sz w:val="18"/>
          <w:szCs w:val="18"/>
          <w:lang w:val="fr-FR"/>
        </w:rPr>
      </w:pPr>
      <w:r w:rsidRPr="003345A5">
        <w:rPr>
          <w:i/>
          <w:sz w:val="18"/>
          <w:szCs w:val="18"/>
          <w:lang w:val="fr-FR"/>
        </w:rPr>
        <w:t>Division 1</w:t>
      </w:r>
    </w:p>
    <w:p w:rsidR="003345A5" w:rsidRDefault="003345A5" w:rsidP="00732265">
      <w:pPr>
        <w:rPr>
          <w:sz w:val="18"/>
          <w:szCs w:val="18"/>
          <w:lang w:val="fr-FR"/>
        </w:rPr>
      </w:pPr>
    </w:p>
    <w:p w:rsidR="003345A5" w:rsidRPr="000C7CF6" w:rsidRDefault="003345A5" w:rsidP="003345A5">
      <w:pPr>
        <w:rPr>
          <w:sz w:val="18"/>
          <w:szCs w:val="18"/>
          <w:lang w:val="fr-FR"/>
        </w:rPr>
      </w:pPr>
      <w:r>
        <w:rPr>
          <w:sz w:val="18"/>
          <w:szCs w:val="18"/>
          <w:lang w:val="fr-FR"/>
        </w:rPr>
        <w:t>Ken Endter</w:t>
      </w:r>
    </w:p>
    <w:p w:rsidR="003345A5" w:rsidRPr="003345A5" w:rsidRDefault="003345A5" w:rsidP="00732265">
      <w:pPr>
        <w:rPr>
          <w:i/>
          <w:sz w:val="18"/>
          <w:szCs w:val="18"/>
          <w:lang w:val="fr-FR"/>
        </w:rPr>
      </w:pPr>
      <w:r w:rsidRPr="003345A5">
        <w:rPr>
          <w:i/>
          <w:sz w:val="18"/>
          <w:szCs w:val="18"/>
          <w:lang w:val="fr-FR"/>
        </w:rPr>
        <w:t>Division 2</w:t>
      </w:r>
    </w:p>
    <w:p w:rsidR="003345A5" w:rsidRDefault="003345A5" w:rsidP="00732265">
      <w:pPr>
        <w:rPr>
          <w:sz w:val="18"/>
          <w:szCs w:val="18"/>
          <w:lang w:val="fr-FR"/>
        </w:rPr>
      </w:pPr>
    </w:p>
    <w:p w:rsidR="003345A5" w:rsidRDefault="003345A5" w:rsidP="003345A5">
      <w:pPr>
        <w:rPr>
          <w:sz w:val="18"/>
          <w:szCs w:val="18"/>
          <w:lang w:val="fr-FR"/>
        </w:rPr>
      </w:pPr>
      <w:r w:rsidRPr="000C7CF6">
        <w:rPr>
          <w:sz w:val="18"/>
          <w:szCs w:val="18"/>
          <w:lang w:val="fr-FR"/>
        </w:rPr>
        <w:t>Jennifer DeMeo</w:t>
      </w:r>
    </w:p>
    <w:p w:rsidR="003345A5" w:rsidRPr="003345A5" w:rsidRDefault="003345A5" w:rsidP="00732265">
      <w:pPr>
        <w:rPr>
          <w:i/>
          <w:sz w:val="18"/>
          <w:szCs w:val="18"/>
          <w:lang w:val="fr-FR"/>
        </w:rPr>
      </w:pPr>
      <w:r w:rsidRPr="003345A5">
        <w:rPr>
          <w:i/>
          <w:sz w:val="18"/>
          <w:szCs w:val="18"/>
          <w:lang w:val="fr-FR"/>
        </w:rPr>
        <w:t>Division 3</w:t>
      </w:r>
    </w:p>
    <w:p w:rsidR="003345A5" w:rsidRDefault="003345A5" w:rsidP="00732265">
      <w:pPr>
        <w:rPr>
          <w:sz w:val="18"/>
          <w:szCs w:val="18"/>
          <w:lang w:val="fr-FR"/>
        </w:rPr>
      </w:pPr>
    </w:p>
    <w:p w:rsidR="003345A5" w:rsidRPr="000C7CF6" w:rsidRDefault="003345A5" w:rsidP="003345A5">
      <w:pPr>
        <w:rPr>
          <w:sz w:val="18"/>
          <w:szCs w:val="18"/>
          <w:lang w:val="fr-FR"/>
        </w:rPr>
      </w:pPr>
      <w:r w:rsidRPr="000C7CF6">
        <w:rPr>
          <w:sz w:val="18"/>
          <w:szCs w:val="18"/>
          <w:lang w:val="fr-FR"/>
        </w:rPr>
        <w:t>Don McDougal</w:t>
      </w:r>
    </w:p>
    <w:p w:rsidR="003345A5" w:rsidRPr="003345A5" w:rsidRDefault="003345A5" w:rsidP="00732265">
      <w:pPr>
        <w:rPr>
          <w:i/>
          <w:sz w:val="18"/>
          <w:szCs w:val="18"/>
          <w:lang w:val="fr-FR"/>
        </w:rPr>
      </w:pPr>
      <w:r w:rsidRPr="003345A5">
        <w:rPr>
          <w:i/>
          <w:sz w:val="18"/>
          <w:szCs w:val="18"/>
          <w:lang w:val="fr-FR"/>
        </w:rPr>
        <w:t>Division 4</w:t>
      </w:r>
    </w:p>
    <w:p w:rsidR="003345A5" w:rsidRDefault="003345A5" w:rsidP="00732265">
      <w:pPr>
        <w:rPr>
          <w:sz w:val="18"/>
          <w:szCs w:val="18"/>
          <w:lang w:val="fr-FR"/>
        </w:rPr>
      </w:pPr>
    </w:p>
    <w:p w:rsidR="003345A5" w:rsidRPr="000C7CF6" w:rsidRDefault="003345A5" w:rsidP="003345A5">
      <w:pPr>
        <w:rPr>
          <w:sz w:val="18"/>
          <w:szCs w:val="18"/>
          <w:lang w:val="fr-FR"/>
        </w:rPr>
      </w:pPr>
      <w:r w:rsidRPr="000C7CF6">
        <w:rPr>
          <w:sz w:val="18"/>
          <w:szCs w:val="18"/>
          <w:lang w:val="fr-FR"/>
        </w:rPr>
        <w:t>Charley Wolk</w:t>
      </w:r>
    </w:p>
    <w:p w:rsidR="003345A5" w:rsidRPr="003345A5" w:rsidRDefault="003345A5" w:rsidP="00732265">
      <w:pPr>
        <w:rPr>
          <w:i/>
          <w:sz w:val="18"/>
          <w:szCs w:val="18"/>
          <w:lang w:val="fr-FR"/>
        </w:rPr>
      </w:pPr>
      <w:r w:rsidRPr="003345A5">
        <w:rPr>
          <w:i/>
          <w:sz w:val="18"/>
          <w:szCs w:val="18"/>
          <w:lang w:val="fr-FR"/>
        </w:rPr>
        <w:t>Division 5</w:t>
      </w:r>
    </w:p>
    <w:p w:rsidR="003345A5" w:rsidRDefault="003345A5" w:rsidP="00732265">
      <w:pPr>
        <w:rPr>
          <w:sz w:val="18"/>
          <w:szCs w:val="18"/>
          <w:lang w:val="fr-FR"/>
        </w:rPr>
      </w:pPr>
    </w:p>
    <w:p w:rsidR="00ED0F01" w:rsidRDefault="00ED0F01">
      <w:pPr>
        <w:rPr>
          <w:sz w:val="18"/>
          <w:szCs w:val="18"/>
          <w:u w:val="single"/>
        </w:rPr>
      </w:pPr>
    </w:p>
    <w:p w:rsidR="00F36270" w:rsidRPr="000C7CF6" w:rsidRDefault="00F36270">
      <w:pPr>
        <w:rPr>
          <w:sz w:val="18"/>
          <w:szCs w:val="18"/>
        </w:rPr>
      </w:pPr>
      <w:r w:rsidRPr="000C7CF6">
        <w:rPr>
          <w:sz w:val="18"/>
          <w:szCs w:val="18"/>
          <w:u w:val="single"/>
        </w:rPr>
        <w:t>Staff</w:t>
      </w:r>
    </w:p>
    <w:p w:rsidR="00647698" w:rsidRPr="000C7CF6" w:rsidRDefault="00647698">
      <w:pPr>
        <w:rPr>
          <w:sz w:val="18"/>
          <w:szCs w:val="18"/>
        </w:rPr>
      </w:pPr>
    </w:p>
    <w:p w:rsidR="006D1E01" w:rsidRDefault="000018ED" w:rsidP="00F721F6">
      <w:pPr>
        <w:rPr>
          <w:sz w:val="18"/>
          <w:szCs w:val="18"/>
        </w:rPr>
      </w:pPr>
      <w:r w:rsidRPr="000C7CF6">
        <w:rPr>
          <w:sz w:val="18"/>
          <w:szCs w:val="18"/>
        </w:rPr>
        <w:t>Jack Bebee</w:t>
      </w:r>
    </w:p>
    <w:p w:rsidR="00F721F6" w:rsidRPr="006D1E01" w:rsidRDefault="00F721F6" w:rsidP="00F721F6">
      <w:pPr>
        <w:rPr>
          <w:sz w:val="18"/>
          <w:szCs w:val="18"/>
        </w:rPr>
      </w:pPr>
      <w:r w:rsidRPr="000C7CF6">
        <w:rPr>
          <w:i/>
          <w:sz w:val="18"/>
          <w:szCs w:val="18"/>
        </w:rPr>
        <w:t>General Manager</w:t>
      </w:r>
    </w:p>
    <w:p w:rsidR="00F721F6" w:rsidRPr="000C7CF6" w:rsidRDefault="00F721F6" w:rsidP="000018ED">
      <w:pPr>
        <w:rPr>
          <w:i/>
          <w:sz w:val="18"/>
          <w:szCs w:val="18"/>
        </w:rPr>
      </w:pPr>
    </w:p>
    <w:p w:rsidR="000018ED" w:rsidRPr="000C7CF6" w:rsidRDefault="000018ED" w:rsidP="000018ED">
      <w:pPr>
        <w:rPr>
          <w:sz w:val="18"/>
          <w:szCs w:val="18"/>
        </w:rPr>
      </w:pPr>
      <w:r w:rsidRPr="000C7CF6">
        <w:rPr>
          <w:sz w:val="18"/>
          <w:szCs w:val="18"/>
        </w:rPr>
        <w:t>David Shank</w:t>
      </w:r>
    </w:p>
    <w:p w:rsidR="000018ED" w:rsidRPr="000C7CF6" w:rsidRDefault="000018ED" w:rsidP="000018ED">
      <w:pPr>
        <w:rPr>
          <w:i/>
          <w:sz w:val="18"/>
          <w:szCs w:val="18"/>
        </w:rPr>
      </w:pPr>
      <w:r w:rsidRPr="000C7CF6">
        <w:rPr>
          <w:i/>
          <w:sz w:val="18"/>
          <w:szCs w:val="18"/>
        </w:rPr>
        <w:t>Assistant General Manager/</w:t>
      </w:r>
      <w:r w:rsidR="0026511A" w:rsidRPr="000C7CF6">
        <w:rPr>
          <w:i/>
          <w:sz w:val="18"/>
          <w:szCs w:val="18"/>
        </w:rPr>
        <w:br/>
      </w:r>
      <w:r w:rsidR="00F80196" w:rsidRPr="000C7CF6">
        <w:rPr>
          <w:i/>
          <w:sz w:val="18"/>
          <w:szCs w:val="18"/>
        </w:rPr>
        <w:t xml:space="preserve">Chief </w:t>
      </w:r>
      <w:r w:rsidRPr="000C7CF6">
        <w:rPr>
          <w:i/>
          <w:sz w:val="18"/>
          <w:szCs w:val="18"/>
        </w:rPr>
        <w:t>Financial Officer</w:t>
      </w:r>
    </w:p>
    <w:p w:rsidR="000018ED" w:rsidRPr="000C7CF6" w:rsidRDefault="000018ED" w:rsidP="000018ED">
      <w:pPr>
        <w:rPr>
          <w:sz w:val="18"/>
          <w:szCs w:val="18"/>
        </w:rPr>
      </w:pPr>
    </w:p>
    <w:p w:rsidR="000018ED" w:rsidRPr="000C7CF6" w:rsidRDefault="00BC5F7D" w:rsidP="000018ED">
      <w:pPr>
        <w:rPr>
          <w:sz w:val="18"/>
          <w:szCs w:val="18"/>
        </w:rPr>
      </w:pPr>
      <w:r>
        <w:rPr>
          <w:sz w:val="18"/>
          <w:szCs w:val="18"/>
        </w:rPr>
        <w:t>Lauren Eckert</w:t>
      </w:r>
    </w:p>
    <w:p w:rsidR="00BC5F7D" w:rsidRDefault="00BC5F7D" w:rsidP="00F131A0">
      <w:pPr>
        <w:rPr>
          <w:i/>
          <w:sz w:val="18"/>
          <w:szCs w:val="18"/>
        </w:rPr>
      </w:pPr>
      <w:r>
        <w:rPr>
          <w:i/>
          <w:sz w:val="18"/>
          <w:szCs w:val="18"/>
        </w:rPr>
        <w:t>Executive Assistant/</w:t>
      </w:r>
    </w:p>
    <w:p w:rsidR="00F131A0" w:rsidRDefault="00BC5F7D" w:rsidP="00F131A0">
      <w:pPr>
        <w:rPr>
          <w:sz w:val="18"/>
          <w:szCs w:val="18"/>
        </w:rPr>
      </w:pPr>
      <w:r>
        <w:rPr>
          <w:i/>
          <w:sz w:val="18"/>
          <w:szCs w:val="18"/>
        </w:rPr>
        <w:t xml:space="preserve">Board </w:t>
      </w:r>
      <w:r w:rsidR="000018ED" w:rsidRPr="000C7CF6">
        <w:rPr>
          <w:i/>
          <w:sz w:val="18"/>
          <w:szCs w:val="18"/>
        </w:rPr>
        <w:t>Secretary</w:t>
      </w:r>
      <w:r w:rsidR="00F131A0" w:rsidRPr="00F131A0">
        <w:rPr>
          <w:sz w:val="18"/>
          <w:szCs w:val="18"/>
        </w:rPr>
        <w:t xml:space="preserve"> </w:t>
      </w:r>
    </w:p>
    <w:p w:rsidR="00F131A0" w:rsidRDefault="00F131A0" w:rsidP="00F131A0">
      <w:pPr>
        <w:rPr>
          <w:sz w:val="18"/>
          <w:szCs w:val="18"/>
        </w:rPr>
      </w:pPr>
    </w:p>
    <w:p w:rsidR="00F131A0" w:rsidRPr="00F131A0" w:rsidRDefault="00F131A0" w:rsidP="00F131A0">
      <w:pPr>
        <w:rPr>
          <w:sz w:val="18"/>
          <w:szCs w:val="18"/>
          <w:u w:val="single"/>
        </w:rPr>
      </w:pPr>
      <w:r w:rsidRPr="00F131A0">
        <w:rPr>
          <w:sz w:val="18"/>
          <w:szCs w:val="18"/>
          <w:u w:val="single"/>
        </w:rPr>
        <w:t>General Counsel</w:t>
      </w:r>
    </w:p>
    <w:p w:rsidR="00F131A0" w:rsidRDefault="00F131A0" w:rsidP="00F131A0">
      <w:pPr>
        <w:rPr>
          <w:sz w:val="18"/>
          <w:szCs w:val="18"/>
        </w:rPr>
      </w:pPr>
    </w:p>
    <w:p w:rsidR="00F131A0" w:rsidRPr="000C7CF6" w:rsidRDefault="00BC5F7D" w:rsidP="00F131A0">
      <w:pPr>
        <w:rPr>
          <w:sz w:val="18"/>
          <w:szCs w:val="18"/>
        </w:rPr>
      </w:pPr>
      <w:r>
        <w:rPr>
          <w:sz w:val="18"/>
          <w:szCs w:val="18"/>
        </w:rPr>
        <w:t>Paula de Sousa</w:t>
      </w:r>
    </w:p>
    <w:p w:rsidR="00F36270" w:rsidRPr="00F131A0" w:rsidRDefault="00F131A0" w:rsidP="003345A5">
      <w:pPr>
        <w:rPr>
          <w:sz w:val="18"/>
          <w:szCs w:val="18"/>
        </w:rPr>
      </w:pPr>
      <w:r>
        <w:rPr>
          <w:i/>
          <w:sz w:val="18"/>
          <w:szCs w:val="18"/>
        </w:rPr>
        <w:t>Best Best &amp; Krieger</w:t>
      </w:r>
      <w:bookmarkStart w:id="0" w:name="_GoBack"/>
      <w:bookmarkEnd w:id="0"/>
    </w:p>
    <w:sectPr w:rsidR="00F36270" w:rsidRPr="00F131A0" w:rsidSect="00235F8A">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2A" w:rsidRDefault="0021672A" w:rsidP="00C03937">
      <w:r>
        <w:separator/>
      </w:r>
    </w:p>
  </w:endnote>
  <w:endnote w:type="continuationSeparator" w:id="0">
    <w:p w:rsidR="0021672A" w:rsidRDefault="0021672A" w:rsidP="00C0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2A" w:rsidRDefault="0021672A" w:rsidP="00C03937">
      <w:r>
        <w:separator/>
      </w:r>
    </w:p>
  </w:footnote>
  <w:footnote w:type="continuationSeparator" w:id="0">
    <w:p w:rsidR="0021672A" w:rsidRDefault="0021672A" w:rsidP="00C0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10B9"/>
    <w:multiLevelType w:val="hybridMultilevel"/>
    <w:tmpl w:val="8008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F45F4"/>
    <w:multiLevelType w:val="hybridMultilevel"/>
    <w:tmpl w:val="DC064D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6AB56458"/>
    <w:multiLevelType w:val="hybridMultilevel"/>
    <w:tmpl w:val="2EF61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C05754"/>
    <w:multiLevelType w:val="hybridMultilevel"/>
    <w:tmpl w:val="F328F0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93D717C"/>
    <w:multiLevelType w:val="hybridMultilevel"/>
    <w:tmpl w:val="EA8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B24DC"/>
    <w:multiLevelType w:val="hybridMultilevel"/>
    <w:tmpl w:val="901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defaultTabStop w:val="720"/>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70"/>
    <w:rsid w:val="000018ED"/>
    <w:rsid w:val="00002371"/>
    <w:rsid w:val="00003056"/>
    <w:rsid w:val="00003233"/>
    <w:rsid w:val="00033DFA"/>
    <w:rsid w:val="00036E46"/>
    <w:rsid w:val="000406B2"/>
    <w:rsid w:val="000431B0"/>
    <w:rsid w:val="00055EA9"/>
    <w:rsid w:val="0008033C"/>
    <w:rsid w:val="00094E66"/>
    <w:rsid w:val="000954FA"/>
    <w:rsid w:val="000B4FE1"/>
    <w:rsid w:val="000C1B8A"/>
    <w:rsid w:val="000C39A5"/>
    <w:rsid w:val="000C721E"/>
    <w:rsid w:val="000C7BD1"/>
    <w:rsid w:val="000C7CF6"/>
    <w:rsid w:val="000F1646"/>
    <w:rsid w:val="00105F5C"/>
    <w:rsid w:val="001159B5"/>
    <w:rsid w:val="00145650"/>
    <w:rsid w:val="0015715C"/>
    <w:rsid w:val="00165694"/>
    <w:rsid w:val="00196684"/>
    <w:rsid w:val="001C6E3F"/>
    <w:rsid w:val="001C7F02"/>
    <w:rsid w:val="001D255F"/>
    <w:rsid w:val="001E65D9"/>
    <w:rsid w:val="001E781C"/>
    <w:rsid w:val="001F04E6"/>
    <w:rsid w:val="001F1537"/>
    <w:rsid w:val="0020593C"/>
    <w:rsid w:val="0021605C"/>
    <w:rsid w:val="0021672A"/>
    <w:rsid w:val="00222F17"/>
    <w:rsid w:val="00235F8A"/>
    <w:rsid w:val="00240208"/>
    <w:rsid w:val="00244860"/>
    <w:rsid w:val="002616F1"/>
    <w:rsid w:val="0026511A"/>
    <w:rsid w:val="0027619D"/>
    <w:rsid w:val="00293158"/>
    <w:rsid w:val="0029506F"/>
    <w:rsid w:val="002A21D0"/>
    <w:rsid w:val="002A3E97"/>
    <w:rsid w:val="002B2BC0"/>
    <w:rsid w:val="002D50B8"/>
    <w:rsid w:val="002F1AC9"/>
    <w:rsid w:val="002F2A14"/>
    <w:rsid w:val="00323C84"/>
    <w:rsid w:val="003345A5"/>
    <w:rsid w:val="00355E92"/>
    <w:rsid w:val="00357F4E"/>
    <w:rsid w:val="0036574E"/>
    <w:rsid w:val="00367CB8"/>
    <w:rsid w:val="00373060"/>
    <w:rsid w:val="00390FFD"/>
    <w:rsid w:val="003978C9"/>
    <w:rsid w:val="003A7C01"/>
    <w:rsid w:val="003B2EF5"/>
    <w:rsid w:val="003C4E77"/>
    <w:rsid w:val="003C74F5"/>
    <w:rsid w:val="003D02D5"/>
    <w:rsid w:val="003D1554"/>
    <w:rsid w:val="004001FE"/>
    <w:rsid w:val="00402D73"/>
    <w:rsid w:val="00414740"/>
    <w:rsid w:val="004233C1"/>
    <w:rsid w:val="00424E62"/>
    <w:rsid w:val="00440D7A"/>
    <w:rsid w:val="00442877"/>
    <w:rsid w:val="0044400F"/>
    <w:rsid w:val="0044582D"/>
    <w:rsid w:val="00491310"/>
    <w:rsid w:val="00494570"/>
    <w:rsid w:val="00497ED9"/>
    <w:rsid w:val="004A01EA"/>
    <w:rsid w:val="004A0526"/>
    <w:rsid w:val="004B4E76"/>
    <w:rsid w:val="004C4526"/>
    <w:rsid w:val="004D6497"/>
    <w:rsid w:val="004E5B5F"/>
    <w:rsid w:val="004F55FD"/>
    <w:rsid w:val="00536D9E"/>
    <w:rsid w:val="00541D71"/>
    <w:rsid w:val="005535E4"/>
    <w:rsid w:val="00554996"/>
    <w:rsid w:val="00555A73"/>
    <w:rsid w:val="00570848"/>
    <w:rsid w:val="00596040"/>
    <w:rsid w:val="005B08F0"/>
    <w:rsid w:val="005D412C"/>
    <w:rsid w:val="005E3584"/>
    <w:rsid w:val="005F08C5"/>
    <w:rsid w:val="005F1323"/>
    <w:rsid w:val="005F7F0B"/>
    <w:rsid w:val="006068CB"/>
    <w:rsid w:val="006105DA"/>
    <w:rsid w:val="00611392"/>
    <w:rsid w:val="00647698"/>
    <w:rsid w:val="0066016E"/>
    <w:rsid w:val="0068259C"/>
    <w:rsid w:val="00683314"/>
    <w:rsid w:val="00683E05"/>
    <w:rsid w:val="006A3E08"/>
    <w:rsid w:val="006A4C1C"/>
    <w:rsid w:val="006B0B00"/>
    <w:rsid w:val="006B0DED"/>
    <w:rsid w:val="006C4F2E"/>
    <w:rsid w:val="006C6DCB"/>
    <w:rsid w:val="006D1E01"/>
    <w:rsid w:val="007144DB"/>
    <w:rsid w:val="00727357"/>
    <w:rsid w:val="00732265"/>
    <w:rsid w:val="00736E22"/>
    <w:rsid w:val="00751B86"/>
    <w:rsid w:val="007558B8"/>
    <w:rsid w:val="00764C2C"/>
    <w:rsid w:val="007718D2"/>
    <w:rsid w:val="00774612"/>
    <w:rsid w:val="00784286"/>
    <w:rsid w:val="007A1D03"/>
    <w:rsid w:val="007B54B9"/>
    <w:rsid w:val="007C0E5B"/>
    <w:rsid w:val="007C4629"/>
    <w:rsid w:val="007E0254"/>
    <w:rsid w:val="007F792F"/>
    <w:rsid w:val="0080359A"/>
    <w:rsid w:val="00810244"/>
    <w:rsid w:val="0081634B"/>
    <w:rsid w:val="00823DEB"/>
    <w:rsid w:val="008413DE"/>
    <w:rsid w:val="00865DF3"/>
    <w:rsid w:val="00873649"/>
    <w:rsid w:val="00897E35"/>
    <w:rsid w:val="008A243B"/>
    <w:rsid w:val="008A51D8"/>
    <w:rsid w:val="008A6282"/>
    <w:rsid w:val="008A772B"/>
    <w:rsid w:val="008B629F"/>
    <w:rsid w:val="008B727F"/>
    <w:rsid w:val="008E0883"/>
    <w:rsid w:val="008E1DA4"/>
    <w:rsid w:val="008E6015"/>
    <w:rsid w:val="00925D01"/>
    <w:rsid w:val="00941B55"/>
    <w:rsid w:val="00942E95"/>
    <w:rsid w:val="00950F8C"/>
    <w:rsid w:val="00960B9B"/>
    <w:rsid w:val="00983A72"/>
    <w:rsid w:val="009969AE"/>
    <w:rsid w:val="009A4E4A"/>
    <w:rsid w:val="009A584B"/>
    <w:rsid w:val="009D732F"/>
    <w:rsid w:val="009E1783"/>
    <w:rsid w:val="009E4E5D"/>
    <w:rsid w:val="009F167B"/>
    <w:rsid w:val="009F6CF5"/>
    <w:rsid w:val="00A134CC"/>
    <w:rsid w:val="00A1545B"/>
    <w:rsid w:val="00A33F5B"/>
    <w:rsid w:val="00A35726"/>
    <w:rsid w:val="00A5651F"/>
    <w:rsid w:val="00A81FB4"/>
    <w:rsid w:val="00A917B4"/>
    <w:rsid w:val="00A964A8"/>
    <w:rsid w:val="00AA0593"/>
    <w:rsid w:val="00AA41C7"/>
    <w:rsid w:val="00AB0A62"/>
    <w:rsid w:val="00AD3F3A"/>
    <w:rsid w:val="00AF18EB"/>
    <w:rsid w:val="00AF4647"/>
    <w:rsid w:val="00B02EA0"/>
    <w:rsid w:val="00B1277C"/>
    <w:rsid w:val="00B236DC"/>
    <w:rsid w:val="00B4468B"/>
    <w:rsid w:val="00B579D8"/>
    <w:rsid w:val="00B9104A"/>
    <w:rsid w:val="00BC2F5D"/>
    <w:rsid w:val="00BC4C64"/>
    <w:rsid w:val="00BC5F7D"/>
    <w:rsid w:val="00BD110E"/>
    <w:rsid w:val="00BE6B51"/>
    <w:rsid w:val="00BF1B79"/>
    <w:rsid w:val="00C03937"/>
    <w:rsid w:val="00C06E3B"/>
    <w:rsid w:val="00C10F64"/>
    <w:rsid w:val="00C2777B"/>
    <w:rsid w:val="00C52C4D"/>
    <w:rsid w:val="00C54116"/>
    <w:rsid w:val="00C57B9B"/>
    <w:rsid w:val="00C6172E"/>
    <w:rsid w:val="00C64CFB"/>
    <w:rsid w:val="00C90ACC"/>
    <w:rsid w:val="00CB0BE0"/>
    <w:rsid w:val="00CC59CF"/>
    <w:rsid w:val="00CC6878"/>
    <w:rsid w:val="00CF6A63"/>
    <w:rsid w:val="00D0734B"/>
    <w:rsid w:val="00D206BC"/>
    <w:rsid w:val="00D256AE"/>
    <w:rsid w:val="00D47FB1"/>
    <w:rsid w:val="00D508AE"/>
    <w:rsid w:val="00D54418"/>
    <w:rsid w:val="00D570D1"/>
    <w:rsid w:val="00D60FE8"/>
    <w:rsid w:val="00D766A3"/>
    <w:rsid w:val="00D767AE"/>
    <w:rsid w:val="00D9512C"/>
    <w:rsid w:val="00DA2ABF"/>
    <w:rsid w:val="00DC7780"/>
    <w:rsid w:val="00DD45EE"/>
    <w:rsid w:val="00DD555A"/>
    <w:rsid w:val="00DD588B"/>
    <w:rsid w:val="00DE263C"/>
    <w:rsid w:val="00DE41A6"/>
    <w:rsid w:val="00DF18E0"/>
    <w:rsid w:val="00DF1C61"/>
    <w:rsid w:val="00DF7B10"/>
    <w:rsid w:val="00E00A37"/>
    <w:rsid w:val="00E126BF"/>
    <w:rsid w:val="00E16419"/>
    <w:rsid w:val="00E24CD2"/>
    <w:rsid w:val="00E25B94"/>
    <w:rsid w:val="00E27AA9"/>
    <w:rsid w:val="00E36DCA"/>
    <w:rsid w:val="00E44159"/>
    <w:rsid w:val="00E47B1D"/>
    <w:rsid w:val="00E554BF"/>
    <w:rsid w:val="00E57F94"/>
    <w:rsid w:val="00E60C35"/>
    <w:rsid w:val="00E73B00"/>
    <w:rsid w:val="00E8110B"/>
    <w:rsid w:val="00E856CF"/>
    <w:rsid w:val="00E935FC"/>
    <w:rsid w:val="00E97FDB"/>
    <w:rsid w:val="00EA0020"/>
    <w:rsid w:val="00ED0F01"/>
    <w:rsid w:val="00EE31B7"/>
    <w:rsid w:val="00EF0F5E"/>
    <w:rsid w:val="00EF2278"/>
    <w:rsid w:val="00EF4779"/>
    <w:rsid w:val="00F131A0"/>
    <w:rsid w:val="00F21E3A"/>
    <w:rsid w:val="00F24057"/>
    <w:rsid w:val="00F36270"/>
    <w:rsid w:val="00F365B5"/>
    <w:rsid w:val="00F3728A"/>
    <w:rsid w:val="00F448D9"/>
    <w:rsid w:val="00F47888"/>
    <w:rsid w:val="00F721F6"/>
    <w:rsid w:val="00F80196"/>
    <w:rsid w:val="00F9411D"/>
    <w:rsid w:val="00FB202C"/>
    <w:rsid w:val="00FD2135"/>
    <w:rsid w:val="00FD6339"/>
    <w:rsid w:val="00FD68E4"/>
    <w:rsid w:val="00FE55FA"/>
    <w:rsid w:val="00FE6FE5"/>
    <w:rsid w:val="00FF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89CBD7D-9084-4EFB-9D16-3626C7D4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szCs w:val="24"/>
      <w:u w:val="single"/>
    </w:rPr>
  </w:style>
  <w:style w:type="paragraph" w:styleId="NoSpacing">
    <w:name w:val="No Spacing"/>
    <w:uiPriority w:val="1"/>
    <w:qFormat/>
    <w:rsid w:val="00F448D9"/>
  </w:style>
  <w:style w:type="paragraph" w:styleId="BodyText">
    <w:name w:val="Body Text"/>
    <w:basedOn w:val="Normal"/>
    <w:link w:val="BodyTextChar"/>
    <w:semiHidden/>
    <w:rsid w:val="00C90ACC"/>
    <w:rPr>
      <w:sz w:val="24"/>
    </w:rPr>
  </w:style>
  <w:style w:type="character" w:customStyle="1" w:styleId="BodyTextChar">
    <w:name w:val="Body Text Char"/>
    <w:link w:val="BodyText"/>
    <w:semiHidden/>
    <w:rsid w:val="00C90ACC"/>
    <w:rPr>
      <w:sz w:val="24"/>
    </w:rPr>
  </w:style>
  <w:style w:type="paragraph" w:styleId="BalloonText">
    <w:name w:val="Balloon Text"/>
    <w:basedOn w:val="Normal"/>
    <w:link w:val="BalloonTextChar"/>
    <w:uiPriority w:val="99"/>
    <w:semiHidden/>
    <w:unhideWhenUsed/>
    <w:rsid w:val="002F2A14"/>
    <w:rPr>
      <w:rFonts w:ascii="Tahoma" w:hAnsi="Tahoma" w:cs="Tahoma"/>
      <w:sz w:val="16"/>
      <w:szCs w:val="16"/>
    </w:rPr>
  </w:style>
  <w:style w:type="character" w:customStyle="1" w:styleId="BalloonTextChar">
    <w:name w:val="Balloon Text Char"/>
    <w:link w:val="BalloonText"/>
    <w:uiPriority w:val="99"/>
    <w:semiHidden/>
    <w:rsid w:val="002F2A14"/>
    <w:rPr>
      <w:rFonts w:ascii="Tahoma" w:hAnsi="Tahoma" w:cs="Tahoma"/>
      <w:sz w:val="16"/>
      <w:szCs w:val="16"/>
    </w:rPr>
  </w:style>
  <w:style w:type="character" w:styleId="Hyperlink">
    <w:name w:val="Hyperlink"/>
    <w:uiPriority w:val="99"/>
    <w:unhideWhenUsed/>
    <w:rsid w:val="003C4E77"/>
    <w:rPr>
      <w:color w:val="0000FF"/>
      <w:u w:val="single"/>
    </w:rPr>
  </w:style>
  <w:style w:type="paragraph" w:styleId="Header">
    <w:name w:val="header"/>
    <w:basedOn w:val="Normal"/>
    <w:link w:val="HeaderChar"/>
    <w:uiPriority w:val="99"/>
    <w:semiHidden/>
    <w:unhideWhenUsed/>
    <w:rsid w:val="00C03937"/>
    <w:pPr>
      <w:tabs>
        <w:tab w:val="center" w:pos="4680"/>
        <w:tab w:val="right" w:pos="9360"/>
      </w:tabs>
    </w:pPr>
  </w:style>
  <w:style w:type="character" w:customStyle="1" w:styleId="HeaderChar">
    <w:name w:val="Header Char"/>
    <w:basedOn w:val="DefaultParagraphFont"/>
    <w:link w:val="Header"/>
    <w:uiPriority w:val="99"/>
    <w:semiHidden/>
    <w:rsid w:val="00C03937"/>
  </w:style>
  <w:style w:type="paragraph" w:styleId="Footer">
    <w:name w:val="footer"/>
    <w:basedOn w:val="Normal"/>
    <w:link w:val="FooterChar"/>
    <w:uiPriority w:val="99"/>
    <w:semiHidden/>
    <w:unhideWhenUsed/>
    <w:rsid w:val="00C03937"/>
    <w:pPr>
      <w:tabs>
        <w:tab w:val="center" w:pos="4680"/>
        <w:tab w:val="right" w:pos="9360"/>
      </w:tabs>
    </w:pPr>
  </w:style>
  <w:style w:type="character" w:customStyle="1" w:styleId="FooterChar">
    <w:name w:val="Footer Char"/>
    <w:basedOn w:val="DefaultParagraphFont"/>
    <w:link w:val="Footer"/>
    <w:uiPriority w:val="99"/>
    <w:semiHidden/>
    <w:rsid w:val="00C03937"/>
  </w:style>
  <w:style w:type="paragraph" w:styleId="NormalWeb">
    <w:name w:val="Normal (Web)"/>
    <w:basedOn w:val="Normal"/>
    <w:uiPriority w:val="99"/>
    <w:unhideWhenUsed/>
    <w:rsid w:val="007B54B9"/>
    <w:pPr>
      <w:spacing w:before="100" w:beforeAutospacing="1" w:after="100" w:afterAutospacing="1"/>
    </w:pPr>
    <w:rPr>
      <w:rFonts w:eastAsia="Calibri"/>
      <w:sz w:val="24"/>
      <w:szCs w:val="24"/>
    </w:rPr>
  </w:style>
  <w:style w:type="paragraph" w:styleId="ListParagraph">
    <w:name w:val="List Paragraph"/>
    <w:basedOn w:val="Normal"/>
    <w:uiPriority w:val="34"/>
    <w:qFormat/>
    <w:rsid w:val="007B54B9"/>
    <w:pPr>
      <w:ind w:left="720"/>
      <w:contextualSpacing/>
    </w:pPr>
    <w:rPr>
      <w:rFonts w:ascii="Calibri" w:eastAsia="Calibri" w:hAnsi="Calibri"/>
      <w:sz w:val="22"/>
      <w:szCs w:val="22"/>
    </w:rPr>
  </w:style>
  <w:style w:type="paragraph" w:styleId="BlockText">
    <w:name w:val="Block Text"/>
    <w:basedOn w:val="Normal"/>
    <w:uiPriority w:val="99"/>
    <w:unhideWhenUsed/>
    <w:rsid w:val="00235F8A"/>
    <w:pPr>
      <w:spacing w:after="240"/>
    </w:pPr>
    <w:rPr>
      <w:rFonts w:eastAsia="Calibri"/>
      <w:sz w:val="24"/>
      <w:szCs w:val="24"/>
    </w:rPr>
  </w:style>
  <w:style w:type="paragraph" w:customStyle="1" w:styleId="Default">
    <w:name w:val="Default"/>
    <w:rsid w:val="0027619D"/>
    <w:pPr>
      <w:widowControl w:val="0"/>
      <w:autoSpaceDE w:val="0"/>
      <w:autoSpaceDN w:val="0"/>
      <w:adjustRightInd w:val="0"/>
    </w:pPr>
    <w:rPr>
      <w:rFonts w:eastAsiaTheme="minorEastAsia"/>
      <w:color w:val="000000"/>
      <w:sz w:val="24"/>
      <w:szCs w:val="24"/>
    </w:rPr>
  </w:style>
  <w:style w:type="paragraph" w:customStyle="1" w:styleId="CM3">
    <w:name w:val="CM3"/>
    <w:basedOn w:val="Default"/>
    <w:next w:val="Default"/>
    <w:uiPriority w:val="99"/>
    <w:rsid w:val="0027619D"/>
    <w:rPr>
      <w:color w:val="auto"/>
    </w:rPr>
  </w:style>
  <w:style w:type="paragraph" w:customStyle="1" w:styleId="CM4">
    <w:name w:val="CM4"/>
    <w:basedOn w:val="Default"/>
    <w:next w:val="Default"/>
    <w:uiPriority w:val="99"/>
    <w:rsid w:val="0027619D"/>
    <w:rPr>
      <w:color w:val="auto"/>
    </w:rPr>
  </w:style>
  <w:style w:type="paragraph" w:customStyle="1" w:styleId="CM2">
    <w:name w:val="CM2"/>
    <w:basedOn w:val="Default"/>
    <w:next w:val="Default"/>
    <w:uiPriority w:val="99"/>
    <w:rsid w:val="0027619D"/>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1475">
      <w:bodyDiv w:val="1"/>
      <w:marLeft w:val="0"/>
      <w:marRight w:val="0"/>
      <w:marTop w:val="0"/>
      <w:marBottom w:val="0"/>
      <w:divBdr>
        <w:top w:val="none" w:sz="0" w:space="0" w:color="auto"/>
        <w:left w:val="none" w:sz="0" w:space="0" w:color="auto"/>
        <w:bottom w:val="none" w:sz="0" w:space="0" w:color="auto"/>
        <w:right w:val="none" w:sz="0" w:space="0" w:color="auto"/>
      </w:divBdr>
    </w:div>
    <w:div w:id="99566704">
      <w:bodyDiv w:val="1"/>
      <w:marLeft w:val="0"/>
      <w:marRight w:val="0"/>
      <w:marTop w:val="0"/>
      <w:marBottom w:val="0"/>
      <w:divBdr>
        <w:top w:val="none" w:sz="0" w:space="0" w:color="auto"/>
        <w:left w:val="none" w:sz="0" w:space="0" w:color="auto"/>
        <w:bottom w:val="none" w:sz="0" w:space="0" w:color="auto"/>
        <w:right w:val="none" w:sz="0" w:space="0" w:color="auto"/>
      </w:divBdr>
    </w:div>
    <w:div w:id="239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d.com" TargetMode="External"/><Relationship Id="rId13" Type="http://schemas.openxmlformats.org/officeDocument/2006/relationships/hyperlink" Target="http://www.fpud.com"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wrcb.ca.gov" TargetMode="External"/><Relationship Id="rId17" Type="http://schemas.openxmlformats.org/officeDocument/2006/relationships/hyperlink" Target="http://www.swrcb.ca.gov" TargetMode="External"/><Relationship Id="rId2" Type="http://schemas.openxmlformats.org/officeDocument/2006/relationships/numbering" Target="numbering.xml"/><Relationship Id="rId16" Type="http://schemas.openxmlformats.org/officeDocument/2006/relationships/hyperlink" Target="http://www.mwdh2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wdh2o.com" TargetMode="External"/><Relationship Id="rId5" Type="http://schemas.openxmlformats.org/officeDocument/2006/relationships/webSettings" Target="webSettings.xml"/><Relationship Id="rId15" Type="http://schemas.openxmlformats.org/officeDocument/2006/relationships/hyperlink" Target="http://www.sdfarmbureau.org" TargetMode="External"/><Relationship Id="rId10" Type="http://schemas.openxmlformats.org/officeDocument/2006/relationships/hyperlink" Target="http://www.sdfarmbureau.org" TargetMode="External"/><Relationship Id="rId19" Type="http://schemas.openxmlformats.org/officeDocument/2006/relationships/hyperlink" Target="http://www.fpud.com" TargetMode="External"/><Relationship Id="rId4" Type="http://schemas.openxmlformats.org/officeDocument/2006/relationships/settings" Target="settings.xml"/><Relationship Id="rId9" Type="http://schemas.openxmlformats.org/officeDocument/2006/relationships/hyperlink" Target="http://www.sdcwa.org" TargetMode="External"/><Relationship Id="rId14" Type="http://schemas.openxmlformats.org/officeDocument/2006/relationships/hyperlink" Target="http://www.sdc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F9E06-7C9B-435B-9EE9-DD359975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Fallbrook Public Utility District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Joyce</dc:creator>
  <cp:keywords/>
  <cp:lastModifiedBy>Mick Cothran</cp:lastModifiedBy>
  <cp:revision>2</cp:revision>
  <cp:lastPrinted>2019-11-20T22:03:00Z</cp:lastPrinted>
  <dcterms:created xsi:type="dcterms:W3CDTF">2020-07-30T17:49:00Z</dcterms:created>
  <dcterms:modified xsi:type="dcterms:W3CDTF">2020-07-30T17:49:00Z</dcterms:modified>
</cp:coreProperties>
</file>